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7D59F" w14:textId="77777777" w:rsidR="00D625DB" w:rsidRPr="00D625DB" w:rsidRDefault="00D625DB" w:rsidP="00D625DB">
      <w:pPr>
        <w:jc w:val="both"/>
        <w:rPr>
          <w:b/>
          <w:bCs/>
          <w:sz w:val="28"/>
          <w:szCs w:val="28"/>
        </w:rPr>
      </w:pPr>
      <w:r w:rsidRPr="00D625DB">
        <w:rPr>
          <w:b/>
          <w:bCs/>
          <w:sz w:val="28"/>
          <w:szCs w:val="28"/>
        </w:rPr>
        <w:t>Profile Summary – Dr. Shamik Tiwari</w:t>
      </w:r>
    </w:p>
    <w:p w14:paraId="2C8B1126" w14:textId="63F3FB56" w:rsidR="00D625DB" w:rsidRPr="00D625DB" w:rsidRDefault="00D625DB" w:rsidP="00D625DB">
      <w:pPr>
        <w:jc w:val="both"/>
      </w:pPr>
      <w:r w:rsidRPr="00D625DB">
        <w:t xml:space="preserve">Dr. </w:t>
      </w:r>
      <w:r w:rsidRPr="005C64B2">
        <w:t>Shamik Tiwari</w:t>
      </w:r>
      <w:r w:rsidRPr="00D625DB">
        <w:t xml:space="preserve"> is recognized among the </w:t>
      </w:r>
      <w:r w:rsidRPr="005C64B2">
        <w:t xml:space="preserve">World’s Top </w:t>
      </w:r>
      <w:r w:rsidR="00E22F8C">
        <w:t>2%</w:t>
      </w:r>
      <w:r w:rsidRPr="005C64B2">
        <w:t xml:space="preserve"> Scientists by Elsevier and Stanford University</w:t>
      </w:r>
      <w:r w:rsidRPr="00D625DB">
        <w:t xml:space="preserve"> for three consecutive years </w:t>
      </w:r>
      <w:r w:rsidR="005C64B2">
        <w:t xml:space="preserve">2023, 2024 &amp; 2025 </w:t>
      </w:r>
      <w:r w:rsidRPr="00D625DB">
        <w:t xml:space="preserve">in the field of </w:t>
      </w:r>
      <w:r w:rsidRPr="005C64B2">
        <w:t>Artificial Intelligence</w:t>
      </w:r>
      <w:r w:rsidRPr="00D625DB">
        <w:t xml:space="preserve">. He is a distinguished academic leader, researcher, and innovator in Computer Science, with more than </w:t>
      </w:r>
      <w:r w:rsidRPr="005C64B2">
        <w:t>two decades of experience</w:t>
      </w:r>
      <w:r w:rsidRPr="00D625DB">
        <w:t xml:space="preserve"> spanning research, teaching, academic administration, and institution building. His work has made sustained contributions to AI-driven education, research innovation, and industry–academia collaboration.</w:t>
      </w:r>
    </w:p>
    <w:p w14:paraId="6E1DB738" w14:textId="77777777" w:rsidR="00D625DB" w:rsidRPr="00D625DB" w:rsidRDefault="00D625DB" w:rsidP="00D625DB">
      <w:pPr>
        <w:jc w:val="both"/>
      </w:pPr>
      <w:r w:rsidRPr="00D625DB">
        <w:t xml:space="preserve">As the </w:t>
      </w:r>
      <w:r w:rsidRPr="00D625DB">
        <w:rPr>
          <w:b/>
          <w:bCs/>
        </w:rPr>
        <w:t>Founding Dean of the School of Computer Science and Engineering at IILM University</w:t>
      </w:r>
      <w:r w:rsidRPr="00D625DB">
        <w:t xml:space="preserve">, Dr. Tiwari has led the creation and growth of a </w:t>
      </w:r>
      <w:r w:rsidRPr="00D625DB">
        <w:rPr>
          <w:b/>
          <w:bCs/>
        </w:rPr>
        <w:t>scalable, future-ready academic ecosystem</w:t>
      </w:r>
      <w:r w:rsidRPr="00D625DB">
        <w:t xml:space="preserve"> through focused efforts in </w:t>
      </w:r>
      <w:r w:rsidRPr="00D625DB">
        <w:rPr>
          <w:b/>
          <w:bCs/>
        </w:rPr>
        <w:t>capacity building, academic structuring, and strategic ecosystem development</w:t>
      </w:r>
      <w:r w:rsidRPr="00D625DB">
        <w:t>. Under his leadership, the school evolved from an initial formative phase into a rapidly expanding and sustainable academic unit.</w:t>
      </w:r>
    </w:p>
    <w:p w14:paraId="050AC613" w14:textId="77777777" w:rsidR="00D625DB" w:rsidRPr="00D625DB" w:rsidRDefault="00D625DB" w:rsidP="00D625DB">
      <w:pPr>
        <w:jc w:val="both"/>
      </w:pPr>
      <w:r w:rsidRPr="00D625DB">
        <w:t xml:space="preserve">A key aspect of his leadership has been the </w:t>
      </w:r>
      <w:r w:rsidRPr="00D625DB">
        <w:rPr>
          <w:b/>
          <w:bCs/>
        </w:rPr>
        <w:t>strategic organization of schools and programs into interdisciplinary clusters</w:t>
      </w:r>
      <w:r w:rsidRPr="00D625DB">
        <w:t xml:space="preserve">, supported by systematic faculty recruitment, mentoring, and leadership development. This approach ensured academic depth, operational scalability, and long-term sustainability. In parallel, he actively strengthened </w:t>
      </w:r>
      <w:r w:rsidRPr="00D625DB">
        <w:rPr>
          <w:b/>
          <w:bCs/>
        </w:rPr>
        <w:t>incubation, innovation, and applied research</w:t>
      </w:r>
      <w:r w:rsidRPr="00D625DB">
        <w:t>, enhancing industry relevance, entrepreneurship, and translational research outcomes.</w:t>
      </w:r>
    </w:p>
    <w:p w14:paraId="095D7B95" w14:textId="77777777" w:rsidR="00D625DB" w:rsidRPr="00D625DB" w:rsidRDefault="00D625DB" w:rsidP="00D625DB">
      <w:pPr>
        <w:jc w:val="both"/>
      </w:pPr>
      <w:r w:rsidRPr="00D625DB">
        <w:t xml:space="preserve">Dr. Tiwari has also led </w:t>
      </w:r>
      <w:r w:rsidRPr="00D625DB">
        <w:rPr>
          <w:b/>
          <w:bCs/>
        </w:rPr>
        <w:t>curriculum benchmarking and continuous academic renewal</w:t>
      </w:r>
      <w:r w:rsidRPr="00D625DB">
        <w:t xml:space="preserve">, aligning academic programs with national education reforms, global best practices, and evolving industry competency frameworks. These efforts were further strengthened through the introduction of a </w:t>
      </w:r>
      <w:r w:rsidRPr="00D625DB">
        <w:rPr>
          <w:b/>
          <w:bCs/>
        </w:rPr>
        <w:t>GEO-inspired strategic ecosystem</w:t>
      </w:r>
      <w:r w:rsidRPr="00D625DB">
        <w:t xml:space="preserve"> emphasizing </w:t>
      </w:r>
      <w:r w:rsidRPr="00D625DB">
        <w:rPr>
          <w:b/>
          <w:bCs/>
        </w:rPr>
        <w:t>Global exposure, Experiential learning, and Outcome-driven education</w:t>
      </w:r>
      <w:r w:rsidRPr="00D625DB">
        <w:t>, which now serves as a long-term foundation for academic differentiation and institutional positioning. Collectively, these initiatives enabled sustained institutional growth through an integrated blend of short-term executional initiatives and long-term strategic planning.</w:t>
      </w:r>
    </w:p>
    <w:p w14:paraId="625AAAD7" w14:textId="77777777" w:rsidR="00D625DB" w:rsidRPr="00D625DB" w:rsidRDefault="00D625DB" w:rsidP="00D625DB">
      <w:pPr>
        <w:jc w:val="both"/>
      </w:pPr>
      <w:r w:rsidRPr="00D625DB">
        <w:t xml:space="preserve">A </w:t>
      </w:r>
      <w:r w:rsidRPr="00D625DB">
        <w:rPr>
          <w:b/>
          <w:bCs/>
        </w:rPr>
        <w:t>distinguished researcher</w:t>
      </w:r>
      <w:r w:rsidRPr="00D625DB">
        <w:t xml:space="preserve">, Dr. Tiwari has developed a </w:t>
      </w:r>
      <w:r w:rsidRPr="00D625DB">
        <w:rPr>
          <w:b/>
          <w:bCs/>
        </w:rPr>
        <w:t>non-invasive diagnostic solution for diabetic retinopathy</w:t>
      </w:r>
      <w:r w:rsidRPr="00D625DB">
        <w:t xml:space="preserve"> using lightweight intelligent systems and fundus imaging, supported by funding from </w:t>
      </w:r>
      <w:r w:rsidRPr="00D625DB">
        <w:rPr>
          <w:b/>
          <w:bCs/>
        </w:rPr>
        <w:t>BIRAC, DBT, Government of India</w:t>
      </w:r>
      <w:r w:rsidRPr="00D625DB">
        <w:t xml:space="preserve">. His research expertise spans </w:t>
      </w:r>
      <w:r w:rsidRPr="00D625DB">
        <w:rPr>
          <w:b/>
          <w:bCs/>
        </w:rPr>
        <w:t>Artificial Intelligence, Data Analytics, Statistical and Predictive Modeling, Machine Learning, Deep Learning, Natural Language Processing, Computer Vision, and Data Visualization</w:t>
      </w:r>
      <w:r w:rsidRPr="00D625DB">
        <w:t>.</w:t>
      </w:r>
    </w:p>
    <w:p w14:paraId="4B58DE49" w14:textId="77777777" w:rsidR="00D625DB" w:rsidRPr="00D625DB" w:rsidRDefault="00D625DB" w:rsidP="00D625DB">
      <w:pPr>
        <w:jc w:val="both"/>
      </w:pPr>
      <w:r w:rsidRPr="00D625DB">
        <w:t xml:space="preserve">Prior to his current role, Dr. Tiwari served in academic and leadership positions at institutions including the </w:t>
      </w:r>
      <w:r w:rsidRPr="00D625DB">
        <w:rPr>
          <w:b/>
          <w:bCs/>
        </w:rPr>
        <w:t>University of Petroleum and Energy Studies (UPES), Dehradun; Mody University, Lakshmangarh; and the Sharda Group of Institutions</w:t>
      </w:r>
      <w:r w:rsidRPr="00D625DB">
        <w:t xml:space="preserve">. He has played a significant role in national and international </w:t>
      </w:r>
      <w:r w:rsidRPr="00D625DB">
        <w:rPr>
          <w:b/>
          <w:bCs/>
        </w:rPr>
        <w:t>accreditation and ranking processes</w:t>
      </w:r>
      <w:r w:rsidRPr="00D625DB">
        <w:t xml:space="preserve">, including </w:t>
      </w:r>
      <w:r w:rsidRPr="00D625DB">
        <w:rPr>
          <w:b/>
          <w:bCs/>
        </w:rPr>
        <w:t>NAAC, NIRF, NBA, and ABET</w:t>
      </w:r>
      <w:r w:rsidRPr="00D625DB">
        <w:t>, contributing to academic quality assurance and institutional recognition.</w:t>
      </w:r>
    </w:p>
    <w:p w14:paraId="2B546ABE" w14:textId="77777777" w:rsidR="00D625DB" w:rsidRPr="00D625DB" w:rsidRDefault="00D625DB" w:rsidP="00D625DB">
      <w:pPr>
        <w:jc w:val="both"/>
      </w:pPr>
      <w:r w:rsidRPr="00D625DB">
        <w:t xml:space="preserve">Beyond academia, he has fostered strong </w:t>
      </w:r>
      <w:r w:rsidRPr="00D625DB">
        <w:rPr>
          <w:b/>
          <w:bCs/>
        </w:rPr>
        <w:t>industry partnerships</w:t>
      </w:r>
      <w:r w:rsidRPr="00D625DB">
        <w:t xml:space="preserve"> with global organizations such as </w:t>
      </w:r>
      <w:r w:rsidRPr="00D625DB">
        <w:rPr>
          <w:b/>
          <w:bCs/>
        </w:rPr>
        <w:t>IBM, Xebia, EC-Council, L&amp;T, EY GDS, Intel, Synopsys, Microsoft, AWS, and CompTIA</w:t>
      </w:r>
      <w:r w:rsidRPr="00D625DB">
        <w:t>, enabling collaborative research, certification pathways, internships, and experiential learning initiatives.</w:t>
      </w:r>
    </w:p>
    <w:p w14:paraId="608FB4CB" w14:textId="77777777" w:rsidR="00D625DB" w:rsidRPr="00D625DB" w:rsidRDefault="00D625DB" w:rsidP="00D625DB">
      <w:pPr>
        <w:jc w:val="both"/>
      </w:pPr>
      <w:r w:rsidRPr="00D625DB">
        <w:t xml:space="preserve">Dr. Tiwari also serves as an </w:t>
      </w:r>
      <w:r w:rsidRPr="00D625DB">
        <w:rPr>
          <w:b/>
          <w:bCs/>
        </w:rPr>
        <w:t>Adjunct Faculty and Research Supervisor</w:t>
      </w:r>
      <w:r w:rsidRPr="00D625DB">
        <w:t xml:space="preserve"> for UPGrad’s </w:t>
      </w:r>
      <w:r w:rsidRPr="00D625DB">
        <w:rPr>
          <w:b/>
          <w:bCs/>
        </w:rPr>
        <w:t>Data Science Master’s Program</w:t>
      </w:r>
      <w:r w:rsidRPr="00D625DB">
        <w:t xml:space="preserve">, delivered in collaboration with </w:t>
      </w:r>
      <w:r w:rsidRPr="00D625DB">
        <w:rPr>
          <w:b/>
          <w:bCs/>
        </w:rPr>
        <w:t>Liverpool John Moores University, United Kingdom</w:t>
      </w:r>
      <w:r w:rsidRPr="00D625DB">
        <w:t>, reflecting his commitment to global AI education and mentorship.</w:t>
      </w:r>
    </w:p>
    <w:p w14:paraId="03D99757" w14:textId="686F58D3" w:rsidR="003247EE" w:rsidRDefault="00D625DB" w:rsidP="00D625DB">
      <w:pPr>
        <w:jc w:val="both"/>
      </w:pPr>
      <w:r w:rsidRPr="00D625DB">
        <w:t xml:space="preserve">He holds memberships in leading professional bodies and serves as an </w:t>
      </w:r>
      <w:r w:rsidRPr="00D625DB">
        <w:rPr>
          <w:b/>
          <w:bCs/>
        </w:rPr>
        <w:t>editor and reviewer for reputed international journals</w:t>
      </w:r>
      <w:r w:rsidRPr="00D625DB">
        <w:t xml:space="preserve"> published by </w:t>
      </w:r>
      <w:r w:rsidRPr="00D625DB">
        <w:rPr>
          <w:b/>
          <w:bCs/>
        </w:rPr>
        <w:t>Elsevier, Springer, and other major publishers</w:t>
      </w:r>
      <w:r w:rsidRPr="00D625DB">
        <w:t xml:space="preserve">. Additionally, he is a </w:t>
      </w:r>
      <w:r w:rsidRPr="00D625DB">
        <w:rPr>
          <w:b/>
          <w:bCs/>
        </w:rPr>
        <w:t>Fellow Member of the CPRG Transforming Society through AI Fellowship at the Center of Policy Research and Governance</w:t>
      </w:r>
      <w:r w:rsidRPr="00D625DB">
        <w:t xml:space="preserve">, where he actively collaborates with researchers and policymakers to contribute to </w:t>
      </w:r>
      <w:r w:rsidRPr="00D625DB">
        <w:rPr>
          <w:b/>
          <w:bCs/>
        </w:rPr>
        <w:t>AI-driven policy research, governance frameworks, and evidence-based policy discourse</w:t>
      </w:r>
      <w:r w:rsidRPr="00D625DB">
        <w:t>.</w:t>
      </w:r>
    </w:p>
    <w:sectPr w:rsidR="003247EE" w:rsidSect="00D625DB">
      <w:pgSz w:w="11906" w:h="16838"/>
      <w:pgMar w:top="1077" w:right="1134" w:bottom="107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7D933A" w14:textId="77777777" w:rsidR="00B26483" w:rsidRDefault="00B26483" w:rsidP="00B26483">
      <w:pPr>
        <w:spacing w:after="0" w:line="240" w:lineRule="auto"/>
      </w:pPr>
      <w:r>
        <w:separator/>
      </w:r>
    </w:p>
  </w:endnote>
  <w:endnote w:type="continuationSeparator" w:id="0">
    <w:p w14:paraId="446ADE5E" w14:textId="77777777" w:rsidR="00B26483" w:rsidRDefault="00B26483" w:rsidP="00B26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345A6" w14:textId="77777777" w:rsidR="00B26483" w:rsidRDefault="00B26483" w:rsidP="00B26483">
      <w:pPr>
        <w:spacing w:after="0" w:line="240" w:lineRule="auto"/>
      </w:pPr>
      <w:r>
        <w:separator/>
      </w:r>
    </w:p>
  </w:footnote>
  <w:footnote w:type="continuationSeparator" w:id="0">
    <w:p w14:paraId="6A6A8584" w14:textId="77777777" w:rsidR="00B26483" w:rsidRDefault="00B26483" w:rsidP="00B264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0B4FC3"/>
    <w:multiLevelType w:val="multilevel"/>
    <w:tmpl w:val="76609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9828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D1A"/>
    <w:rsid w:val="000A6EA3"/>
    <w:rsid w:val="00282465"/>
    <w:rsid w:val="0032411C"/>
    <w:rsid w:val="003247EE"/>
    <w:rsid w:val="00337DB1"/>
    <w:rsid w:val="0051175A"/>
    <w:rsid w:val="005C64B2"/>
    <w:rsid w:val="005D3A11"/>
    <w:rsid w:val="007418B6"/>
    <w:rsid w:val="00796C8E"/>
    <w:rsid w:val="008C73C4"/>
    <w:rsid w:val="008E2D1A"/>
    <w:rsid w:val="008F2CB6"/>
    <w:rsid w:val="00984F33"/>
    <w:rsid w:val="009E7905"/>
    <w:rsid w:val="00A553DF"/>
    <w:rsid w:val="00B26483"/>
    <w:rsid w:val="00B40827"/>
    <w:rsid w:val="00BA0966"/>
    <w:rsid w:val="00BF1687"/>
    <w:rsid w:val="00C81D36"/>
    <w:rsid w:val="00D05DAB"/>
    <w:rsid w:val="00D1683C"/>
    <w:rsid w:val="00D4113B"/>
    <w:rsid w:val="00D625DB"/>
    <w:rsid w:val="00DB59EE"/>
    <w:rsid w:val="00E22F8C"/>
    <w:rsid w:val="00E83B1E"/>
    <w:rsid w:val="00E94FED"/>
    <w:rsid w:val="00F16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AFDD5"/>
  <w15:chartTrackingRefBased/>
  <w15:docId w15:val="{F852C44B-2EE1-4782-9D4F-F84B7C27F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2D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2D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2D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2D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2D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2D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2D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2D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2D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D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2D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2D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2D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2D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2D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2D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2D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2D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2D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2D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2D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2D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2D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2D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2D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2D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2D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2D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2D1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A6EA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A6EA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264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483"/>
  </w:style>
  <w:style w:type="paragraph" w:styleId="Footer">
    <w:name w:val="footer"/>
    <w:basedOn w:val="Normal"/>
    <w:link w:val="FooterChar"/>
    <w:uiPriority w:val="99"/>
    <w:unhideWhenUsed/>
    <w:rsid w:val="00B264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4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2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3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0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44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shamik tiwari</dc:creator>
  <cp:keywords/>
  <dc:description/>
  <cp:lastModifiedBy>shamik tiwari</cp:lastModifiedBy>
  <cp:revision>9</cp:revision>
  <cp:lastPrinted>2026-01-22T15:33:00Z</cp:lastPrinted>
  <dcterms:created xsi:type="dcterms:W3CDTF">2026-01-22T15:25:00Z</dcterms:created>
  <dcterms:modified xsi:type="dcterms:W3CDTF">2026-01-22T15:41:00Z</dcterms:modified>
</cp:coreProperties>
</file>